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before="240" w:after="0"/>
        <w:jc w:val="center"/>
        <w:rPr/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before="3000" w:after="0"/>
        <w:jc w:val="center"/>
        <w:rPr/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jc w:val="center"/>
        <w:rPr/>
      </w:pPr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5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«Проектирование системной архитектуры. Построение диаграмм компонентов, развертывания»</w:t>
      </w:r>
    </w:p>
    <w:p>
      <w:pPr>
        <w:pStyle w:val="Normal"/>
        <w:spacing w:before="120" w:after="0"/>
        <w:rPr/>
      </w:pPr>
      <w:r>
        <w:rPr/>
        <w:t>Специальность 11.03.02 «Инфокоммуникационные технологии и системы связи»</w:t>
      </w:r>
    </w:p>
    <w:p>
      <w:pPr>
        <w:pStyle w:val="NormalWeb"/>
        <w:spacing w:beforeAutospacing="0" w:before="120" w:afterAutospacing="0" w:after="0"/>
        <w:rPr/>
      </w:pPr>
      <w:r>
        <w:rPr>
          <w:color w:val="000000"/>
        </w:rPr>
        <w:t>ПМ.02 «Осуществление интеграции программных модулей»</w:t>
      </w:r>
    </w:p>
    <w:p>
      <w:pPr>
        <w:pStyle w:val="NormalWeb"/>
        <w:spacing w:beforeAutospacing="0" w:before="120" w:afterAutospacing="0" w:after="0"/>
        <w:rPr/>
      </w:pPr>
      <w:r>
        <w:rPr>
          <w:color w:val="000000"/>
        </w:rPr>
        <w:t>МДК.2.1 «Технология разработки программного обеспечения»</w:t>
      </w:r>
    </w:p>
    <w:p>
      <w:pPr>
        <w:pStyle w:val="NormalWeb"/>
        <w:spacing w:beforeAutospacing="0" w:before="120" w:afterAutospacing="0" w:after="0"/>
        <w:rPr>
          <w:color w:val="000000"/>
        </w:rPr>
      </w:pPr>
      <w:r>
        <w:rPr>
          <w:color w:val="000000"/>
        </w:rPr>
        <w:t>Тема 2.1.2 «Описание и анализ требований. Диаграммы IDEF, DFD и UML»</w:t>
      </w:r>
    </w:p>
    <w:p>
      <w:pPr>
        <w:pStyle w:val="NormalWeb"/>
        <w:spacing w:beforeAutospacing="0" w:before="120" w:afterAutospacing="0" w:after="0"/>
        <w:rPr/>
      </w:pPr>
      <w:r>
        <w:rPr/>
      </w:r>
    </w:p>
    <w:tbl>
      <w:tblPr>
        <w:tblW w:w="978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HBand="0" w:noVBand="1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before="120" w:after="0"/>
              <w:rPr/>
            </w:pPr>
            <w:r>
              <w:rPr/>
              <w:t>«22» октября 2025г.</w:t>
            </w:r>
          </w:p>
          <w:p>
            <w:pPr>
              <w:pStyle w:val="Normal"/>
              <w:spacing w:before="120" w:after="0"/>
              <w:rPr/>
            </w:pPr>
            <w:r>
              <w:rPr/>
              <w:t>Оценка:</w:t>
            </w:r>
          </w:p>
          <w:p>
            <w:pPr>
              <w:pStyle w:val="Normal"/>
              <w:spacing w:before="120" w:after="0"/>
              <w:rPr>
                <w:i/>
                <w:i/>
                <w:u w:val="single"/>
              </w:rPr>
            </w:pPr>
            <w:r>
              <w:rPr>
                <w:i/>
                <w:u w:val="single"/>
              </w:rPr>
            </w:r>
          </w:p>
        </w:tc>
        <w:tc>
          <w:tcPr>
            <w:tcW w:w="3717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before="120" w:after="0"/>
              <w:rPr/>
            </w:pPr>
            <w:r>
              <w:rPr/>
              <w:t>Дощенников Н.А.</w:t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spacing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jc w:val="center"/>
        <w:rPr/>
      </w:pPr>
      <w:r>
        <w:rPr/>
        <w:t>2025/2026</w:t>
      </w:r>
    </w:p>
    <w:p>
      <w:pPr>
        <w:pStyle w:val="Normal"/>
        <w:spacing w:before="0" w:after="240"/>
        <w:jc w:val="center"/>
        <w:rPr>
          <w:rFonts w:ascii="Arial" w:hAnsi="Arial" w:eastAsia="Arial" w:cs="Arial"/>
          <w:smallCaps/>
          <w:sz w:val="32"/>
          <w:szCs w:val="32"/>
        </w:rPr>
      </w:pPr>
      <w:r>
        <w:rPr>
          <w:rFonts w:eastAsia="Arial" w:cs="Arial" w:ascii="Arial" w:hAnsi="Arial"/>
          <w:smallCaps/>
          <w:sz w:val="32"/>
          <w:szCs w:val="32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6"/>
        </w:rPr>
      </w:pPr>
      <w:r>
        <w:rPr>
          <w:rFonts w:eastAsia="Arial"/>
          <w:b/>
          <w:bCs/>
          <w:sz w:val="28"/>
          <w:szCs w:val="26"/>
        </w:rPr>
        <w:t>Цель работы.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>Закрепление теоретических знаний и получение практического опыта в вопросах проектирования системной архитектуры информационной системы.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 xml:space="preserve">При выполнении работы изучить методические материалы: </w:t>
      </w:r>
    </w:p>
    <w:p>
      <w:pPr>
        <w:pStyle w:val="ListParagraph"/>
        <w:numPr>
          <w:ilvl w:val="0"/>
          <w:numId w:val="1"/>
        </w:numPr>
        <w:spacing w:lineRule="auto" w:line="360"/>
        <w:rPr>
          <w:sz w:val="28"/>
          <w:szCs w:val="26"/>
        </w:rPr>
      </w:pPr>
      <w:r>
        <w:rPr>
          <w:sz w:val="28"/>
          <w:szCs w:val="26"/>
        </w:rPr>
        <w:t xml:space="preserve">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242-250); </w:t>
      </w:r>
    </w:p>
    <w:p>
      <w:pPr>
        <w:pStyle w:val="ListParagraph"/>
        <w:numPr>
          <w:ilvl w:val="0"/>
          <w:numId w:val="1"/>
        </w:numPr>
        <w:spacing w:lineRule="auto" w:line="360"/>
        <w:rPr>
          <w:sz w:val="28"/>
          <w:szCs w:val="26"/>
        </w:rPr>
      </w:pPr>
      <w:r>
        <w:rPr>
          <w:sz w:val="28"/>
          <w:szCs w:val="26"/>
        </w:rPr>
        <w:t xml:space="preserve">пособия Леоненков А.В. Самоучитель UML (глава 10 – глава 11); </w:t>
      </w:r>
    </w:p>
    <w:p>
      <w:pPr>
        <w:pStyle w:val="ListParagraph"/>
        <w:numPr>
          <w:ilvl w:val="0"/>
          <w:numId w:val="1"/>
        </w:numPr>
        <w:spacing w:lineRule="auto" w:line="360"/>
        <w:rPr>
          <w:sz w:val="28"/>
          <w:szCs w:val="26"/>
        </w:rPr>
      </w:pPr>
      <w:bookmarkStart w:id="0" w:name="_heading=h.gjdgxs"/>
      <w:bookmarkEnd w:id="0"/>
      <w:r>
        <w:rPr>
          <w:sz w:val="28"/>
          <w:szCs w:val="26"/>
        </w:rPr>
        <w:t>пособия Коцюба И.Ю., Чунаев А.В., Шиков А.Н. Основы проектирования информационных систем. Учебное пособие. – СПб: Университет ИТМО, 2015. – 206 с. (глава 3);</w:t>
      </w:r>
    </w:p>
    <w:p>
      <w:pPr>
        <w:pStyle w:val="ListParagraph"/>
        <w:numPr>
          <w:ilvl w:val="0"/>
          <w:numId w:val="1"/>
        </w:numPr>
        <w:spacing w:lineRule="auto" w:line="360"/>
        <w:rPr>
          <w:sz w:val="28"/>
          <w:szCs w:val="26"/>
        </w:rPr>
      </w:pPr>
      <w:r>
        <w:rPr>
          <w:sz w:val="28"/>
          <w:szCs w:val="26"/>
        </w:rPr>
        <w:t xml:space="preserve">ГОСТ 24.703-85 «Типовые проектные решения (ТПР)» URL: </w:t>
      </w:r>
      <w:hyperlink r:id="rId2">
        <w:r>
          <w:rPr>
            <w:rStyle w:val="Hyperlink"/>
            <w:sz w:val="28"/>
            <w:szCs w:val="26"/>
          </w:rPr>
          <w:t>https://tdocs.su/iz-gost-24703-85-edinaya-sistema-standartov-avtomatizirovannyh-sistem-upravleniya-tipovye-proektnye-resheniya-v-asu-osnovnye-polozheniya</w:t>
        </w:r>
      </w:hyperlink>
    </w:p>
    <w:p>
      <w:pPr>
        <w:pStyle w:val="Normal"/>
        <w:spacing w:lineRule="auto" w:line="360"/>
        <w:rPr>
          <w:sz w:val="28"/>
          <w:szCs w:val="26"/>
        </w:rPr>
      </w:pPr>
      <w:r>
        <w:rPr>
          <w:sz w:val="28"/>
          <w:szCs w:val="26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6"/>
        </w:rPr>
      </w:pPr>
      <w:r>
        <w:rPr>
          <w:rFonts w:eastAsia="Arial"/>
          <w:b/>
          <w:bCs/>
          <w:sz w:val="28"/>
          <w:szCs w:val="26"/>
        </w:rPr>
        <w:t>Задачи.</w:t>
      </w:r>
    </w:p>
    <w:p>
      <w:pPr>
        <w:pStyle w:val="ListParagraph"/>
        <w:numPr>
          <w:ilvl w:val="0"/>
          <w:numId w:val="2"/>
        </w:numPr>
        <w:spacing w:lineRule="auto" w:line="360"/>
        <w:rPr>
          <w:sz w:val="28"/>
          <w:szCs w:val="26"/>
        </w:rPr>
      </w:pPr>
      <w:r>
        <w:rPr>
          <w:sz w:val="28"/>
          <w:szCs w:val="26"/>
        </w:rPr>
        <w:t>Ознакомиться с возможностями программы Visual Paradigm for UML.</w:t>
      </w:r>
    </w:p>
    <w:p>
      <w:pPr>
        <w:pStyle w:val="ListParagraph"/>
        <w:numPr>
          <w:ilvl w:val="0"/>
          <w:numId w:val="2"/>
        </w:numPr>
        <w:spacing w:lineRule="auto" w:line="360"/>
        <w:rPr>
          <w:sz w:val="28"/>
          <w:szCs w:val="26"/>
        </w:rPr>
      </w:pPr>
      <w:r>
        <w:rPr>
          <w:sz w:val="28"/>
          <w:szCs w:val="26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ListParagraph"/>
        <w:numPr>
          <w:ilvl w:val="0"/>
          <w:numId w:val="2"/>
        </w:numPr>
        <w:spacing w:lineRule="auto" w:line="360"/>
        <w:rPr>
          <w:sz w:val="28"/>
          <w:szCs w:val="26"/>
        </w:rPr>
      </w:pPr>
      <w:r>
        <w:rPr>
          <w:sz w:val="28"/>
          <w:szCs w:val="26"/>
        </w:rPr>
        <w:t>Ответить на вопрос, какой из типов архитектур подходит для вашей системы.</w:t>
      </w:r>
    </w:p>
    <w:p>
      <w:pPr>
        <w:pStyle w:val="ListParagraph"/>
        <w:numPr>
          <w:ilvl w:val="0"/>
          <w:numId w:val="2"/>
        </w:numPr>
        <w:spacing w:lineRule="auto" w:line="360"/>
        <w:rPr>
          <w:sz w:val="28"/>
          <w:szCs w:val="26"/>
        </w:rPr>
      </w:pPr>
      <w:r>
        <w:rPr>
          <w:sz w:val="28"/>
          <w:szCs w:val="26"/>
        </w:rPr>
        <w:t>Выполнить отчет.</w:t>
      </w:r>
    </w:p>
    <w:p>
      <w:pPr>
        <w:pStyle w:val="Normal"/>
        <w:spacing w:lineRule="auto" w:line="360"/>
        <w:rPr>
          <w:sz w:val="28"/>
          <w:szCs w:val="26"/>
        </w:rPr>
      </w:pPr>
      <w:r>
        <w:rPr>
          <w:sz w:val="28"/>
          <w:szCs w:val="26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6"/>
        </w:rPr>
      </w:pPr>
      <w:r>
        <w:rPr>
          <w:rFonts w:eastAsia="Arial"/>
          <w:b/>
          <w:bCs/>
          <w:sz w:val="28"/>
          <w:szCs w:val="26"/>
        </w:rPr>
        <w:t>Индивидуальная тема.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>Проектирование системной архитектуры информационной системы регистрации и обслуживания пациентов в больнице.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>Система предназначена для автоматизации процессов приёма, учёта, госпитализации и обслуживания пациентов, а также для обеспечения взаимодействия между пользователями — регистраторами, врачами, заведующими отделениями и администраторами.</w:t>
      </w:r>
    </w:p>
    <w:p>
      <w:pPr>
        <w:pStyle w:val="Normal"/>
        <w:spacing w:lineRule="auto" w:line="360"/>
        <w:rPr>
          <w:sz w:val="28"/>
          <w:szCs w:val="26"/>
        </w:rPr>
      </w:pPr>
      <w:r>
        <w:rPr>
          <w:sz w:val="28"/>
          <w:szCs w:val="26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6"/>
        </w:rPr>
      </w:pPr>
      <w:r>
        <w:rPr>
          <w:rFonts w:eastAsia="Arial"/>
          <w:b/>
          <w:bCs/>
          <w:sz w:val="28"/>
          <w:szCs w:val="26"/>
        </w:rPr>
        <w:t>Ход работы.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 xml:space="preserve">В ходе лабораторной работы была выбрана архитектура многоуровневой клиент-серверной системы, включающая уровни: представления пользовательских приложений врачей, регистраторов и администратора. Приложений сервера логики, реализующий rest api и сервисы авторизации, регистрации пациентов, приёма и выставления счетов. Данных сервера базы данных, в котором хранятся сведения о пользователях, пациентах, визитах, назначениях и оплатах. 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>Создана диаграмма компонентов, на которой представлены основные подсистемы: clientapp пользовательский интерфейс. authservice модуль аутентификации и авторизации пользователей. patientservice компонент для работы с данными пациентов. appointmentservice сервис записи на приём и ведения расписания. billingservice модуль расчёта и учёта оплат. database централизованное хранилище данных. Между компонентами обозначены интерфейсы: IAuthAPI, IPatientAPI, IAppointmentAPI, IbillingAPI.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>Создана диаграмма развертывания, отражающая физическое расположение и взаимодействие компонентов: Узел client device содержит браузер или мобильное приложение. Узел application server развёрнут в больничной сети и выполняет сервисы приложения. Узел database server хранит базу данных и взаимодействует с сервером приложений по защищённому соединению. Дополнительно подключён узел backup server для резервного копирования данных и узел mail/sms gateway для уведомлений пациентов. По структуре и разделению ролей архитектура системы соответствует типу «трёхзвенная архитектура», обеспечивая разделение пользовательского интерфейса, бизнес-логики и хранения данных. (</w:t>
      </w:r>
      <w:r>
        <w:rPr>
          <w:sz w:val="28"/>
          <w:szCs w:val="28"/>
        </w:rPr>
        <w:t>Диаграммы высланы отдельными файлами)</w:t>
      </w:r>
      <w:r>
        <w:rPr>
          <w:sz w:val="28"/>
          <w:szCs w:val="26"/>
        </w:rPr>
        <w:t>.</w:t>
      </w:r>
    </w:p>
    <w:p>
      <w:pPr>
        <w:pStyle w:val="Normal"/>
        <w:spacing w:lineRule="auto" w:line="360"/>
        <w:rPr>
          <w:sz w:val="28"/>
          <w:szCs w:val="26"/>
        </w:rPr>
      </w:pPr>
      <w:r>
        <w:rPr>
          <w:sz w:val="28"/>
          <w:szCs w:val="26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6"/>
        </w:rPr>
      </w:pPr>
      <w:r>
        <w:rPr>
          <w:rFonts w:eastAsia="Arial"/>
          <w:b/>
          <w:bCs/>
          <w:sz w:val="28"/>
          <w:szCs w:val="26"/>
        </w:rPr>
        <w:t>Вывод.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 xml:space="preserve">В ходе выполнения лабораторной работы были приобретены практические навыки проектирования системной архитектуры информационной системы, а также построения диаграмм компонентов и развертывания в нотации uml. 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t>Были определены ключевые компоненты и узлы системы, описаны их связи и взаимодействие. Получен опыт выбора подходящего типа архитектуры и структурирования системы на функциональные слои, что способствует повышению надёжности, масштабируемости и удобства сопровождения информационной системы больницы.</w:t>
      </w:r>
    </w:p>
    <w:p>
      <w:pPr>
        <w:pStyle w:val="Normal"/>
        <w:spacing w:lineRule="auto" w:line="360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</w:r>
    </w:p>
    <w:p>
      <w:pPr>
        <w:pStyle w:val="Normal"/>
        <w:spacing w:lineRule="auto" w:line="360"/>
        <w:ind w:hanging="0" w:left="0"/>
        <w:jc w:val="both"/>
        <w:rPr>
          <w:sz w:val="28"/>
          <w:szCs w:val="26"/>
        </w:rPr>
      </w:pPr>
      <w:r>
        <w:rPr>
          <w:sz w:val="28"/>
          <w:szCs w:val="2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174117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41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-66675</wp:posOffset>
            </wp:positionH>
            <wp:positionV relativeFrom="paragraph">
              <wp:posOffset>2143125</wp:posOffset>
            </wp:positionV>
            <wp:extent cx="5940425" cy="307276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footerReference w:type="even" r:id="rId5"/>
      <w:footerReference w:type="default" r:id="rId6"/>
      <w:footerReference w:type="first" r:id="rId7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rFonts w:cs="Times New Roman"/>
        <w:color w:val="000000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Normal"/>
      <w:tabs>
        <w:tab w:val="clear" w:pos="720"/>
        <w:tab w:val="center" w:pos="4677" w:leader="none"/>
        <w:tab w:val="right" w:pos="9355" w:leader="none"/>
      </w:tabs>
      <w:rPr>
        <w:rFonts w:cs="Times New Roman"/>
        <w:color w:val="000000"/>
      </w:rPr>
    </w:pPr>
    <w:r>
      <w:rPr>
        <w:rFonts w:cs="Times New Roman"/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eastAsia="Times New Roman" w:ascii="Times New Roman" w:hAnsi="Times New Roman" w:cs="FreeSans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qFormat/>
    <w:rPr>
      <w:b/>
      <w:bCs/>
    </w:rPr>
  </w:style>
  <w:style w:type="character" w:styleId="Bulletsuser" w:customStyle="1">
    <w:name w:val="Bullets (user)"/>
    <w:qFormat/>
    <w:rPr>
      <w:rFonts w:ascii="OpenSymbol" w:hAnsi="OpenSymbol" w:eastAsia="OpenSymbol" w:cs="OpenSymbol"/>
    </w:rPr>
  </w:style>
  <w:style w:type="character" w:styleId="SourceText" w:customStyle="1">
    <w:name w:val="Source Text"/>
    <w:qFormat/>
    <w:rPr>
      <w:rFonts w:ascii="Liberation Mono" w:hAnsi="Liberation Mono" w:eastAsia="Noto Sans Mono CJK SC" w:cs="Liberation Mono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52069"/>
    <w:rPr>
      <w:color w:val="605E5C"/>
      <w:shd w:fill="E1DFDD" w:val="clear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qFormat/>
    <w:rsid w:val="00352069"/>
    <w:pPr>
      <w:suppressAutoHyphens w:val="false"/>
      <w:spacing w:beforeAutospacing="1" w:afterAutospacing="1"/>
    </w:pPr>
    <w:rPr>
      <w:rFonts w:cs="Times New Roman"/>
      <w:lang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d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docs.su/iz-gost-24703-85-edinaya-sistema-standartov-avtomatizirovannyh-sistem-upravleniya-tipovye-proektnye-resheniya-v-asu-osnovnye-polozheniya" TargetMode="Externa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roundtripDataSignature="AMtx7mgheymxfRuqRFNs9310NLH5hbGpeQ==">AMUW2mXDZUvK1oCSloziWULCN4H8d2Abw3Ue1d8+e497HEQwsSP81WEoYZ+8B2SmR5bczkDJvyck7Nl9mNljQ6B4BtSm3QAs+Ux83Pr8hzCfT4t8K59upzdYJThYKvHhdM2hYmuY54Y+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LibreOffice/25.2.6.2$Linux_X86_64 LibreOffice_project/520$Build-2</Application>
  <AppVersion>15.0000</AppVersion>
  <Pages>4</Pages>
  <Words>484</Words>
  <Characters>3914</Characters>
  <CharactersWithSpaces>4362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2025-10-16T18:22:55Z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